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</w:rPr>
        <w:t>Main paradigms in sociology.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</w:rPr>
        <w:t xml:space="preserve"> 2018/19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Lato Regular" w:hAnsi="Lato Regular" w:cs="Lato Regular"/>
          <w:color w:val="000000"/>
          <w:sz w:val="20"/>
          <w:szCs w:val="20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E6000E"/>
          <w:u w:val="single"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 main theoretical and research perspectives in sociology will be presented in relation to specific research problems and empirical data. The cognitive goal is to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analyse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critically different theoretical concepts with regard to their possibilities and limitations in explaining empirical phenomena.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Objectives:</w:t>
      </w:r>
    </w:p>
    <w:p w:rsidR="002D5267" w:rsidRDefault="002D5267" w:rsidP="002D5267">
      <w:pPr>
        <w:widowControl w:val="0"/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understanding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 main theoretical perspectives;</w:t>
      </w:r>
    </w:p>
    <w:p w:rsidR="002D5267" w:rsidRDefault="002D5267" w:rsidP="002D5267">
      <w:pPr>
        <w:widowControl w:val="0"/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ability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to use different theories to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analyse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selected social phenomena;</w:t>
      </w:r>
    </w:p>
    <w:p w:rsidR="002D5267" w:rsidRDefault="002D5267" w:rsidP="002D5267">
      <w:pPr>
        <w:widowControl w:val="0"/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critical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analysis of sociological theories;</w:t>
      </w:r>
    </w:p>
    <w:p w:rsidR="002D5267" w:rsidRDefault="002D5267" w:rsidP="002D5267">
      <w:pPr>
        <w:widowControl w:val="0"/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ability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to relate critical theory to empirical data.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 lectures are devoted to various research problems, on the example of which selected theories are analyzed comprehensively.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In addition to theory, students broaden their knowledge of selected topics and learn about the results of empirical research testing sociological theories.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Paradigms in social science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1./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 New issues in social science: Artificial intelligence and society.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discussion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based on the lecture: Kai-Fu Lee | Full Address &amp; Q&amp;A | Oxford Union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 impact of AI on society: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-</w:t>
      </w: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labour</w:t>
      </w:r>
      <w:proofErr w:type="spellEnd"/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market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-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social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relations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-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social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organisation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hyperlink r:id="rId6" w:history="1">
        <w:r>
          <w:rPr>
            <w:rFonts w:ascii="Lato Regular" w:hAnsi="Lato Regular" w:cs="Lato Regular"/>
            <w:color w:val="000000"/>
            <w:sz w:val="20"/>
            <w:szCs w:val="20"/>
            <w:u w:val="single" w:color="000000"/>
          </w:rPr>
          <w:t>https://www.youtube.com/watch?v=8wOqP6fZuto</w:t>
        </w:r>
      </w:hyperlink>
    </w:p>
    <w:p w:rsidR="002D5267" w:rsidRDefault="002D5267" w:rsidP="002D5267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Discuss the impact of AI on society in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labour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market and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and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social relations.</w:t>
      </w:r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2./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Topics of the current debate: What  is social science today?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debate on model of social science “Academic Grievance Studies and the Corruption of Scholarship by Helen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Pluckrose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 James A. Lindsay and Peter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Boghossian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source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: AREO: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hyperlink r:id="rId7" w:history="1">
        <w:r>
          <w:rPr>
            <w:rFonts w:ascii="Lato Regular" w:hAnsi="Lato Regular" w:cs="Lato Regular"/>
            <w:color w:val="000000"/>
            <w:sz w:val="20"/>
            <w:szCs w:val="20"/>
            <w:u w:val="single" w:color="000000"/>
          </w:rPr>
          <w:t>https://areomagazine.com/2018/10/02/academic-grievance-studies-and-the-corruption-of-scholarship/</w:t>
        </w:r>
      </w:hyperlink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Academic standards and ideological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issues  in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 field of humanities; what does the experiment  on the corrupted humanities show?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 xml:space="preserve">Sociology from a methodological perspective: debate on a contemporary model of social science </w:t>
      </w:r>
      <w:proofErr w:type="spell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science</w:t>
      </w:r>
      <w:proofErr w:type="spellEnd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.  Academic standards in the humanities; what does the experiment on the ‘corrupted humanities’ show?</w:t>
      </w:r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3./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 </w:t>
      </w: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Theories of Crime and delinquency - Female criminal </w:t>
      </w:r>
      <w:proofErr w:type="spell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behaviour</w:t>
      </w:r>
      <w:proofErr w:type="spell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Meda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Chesney- Lind, Randall G.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Shelden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“Girls, Delinquency and Juvenile Justice”,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chapt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5. Theories of Crime and Female Delinquency.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review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of theories,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Theory of female Delinquency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lastRenderedPageBreak/>
        <w:t xml:space="preserve">What phenomena of female crime are not explained by the dominant sociological theories?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What specific phenomena of female criminality are explained by Theory of female Delinquency and Feminist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Criminology.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What are the differences between the male and female perspectives on crime and criminal justice?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What are the features of female criminal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behaviour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Theories of Crime and delinquency and theories of female delinquency (compare at lest two).</w:t>
      </w:r>
      <w:proofErr w:type="gramEnd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 xml:space="preserve"> Discuss the limitations and possibilities of explaining various social phenomena in a given theory, referring to empirical 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data 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 xml:space="preserve">What are the differences between the male and female perspectives on crime and criminal </w:t>
      </w:r>
      <w:proofErr w:type="spell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justice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?What</w:t>
      </w:r>
      <w:proofErr w:type="spellEnd"/>
      <w:proofErr w:type="gramEnd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 xml:space="preserve"> phenomena of female crime are not explained by the dominant sociological theories?</w:t>
      </w:r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literature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: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Meda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Chesney- Lind, Randall G.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Shelden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“Girls, Delinquency and Juvenile Justice”,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chapt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5. Theories of Crime and Female Delinquency.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further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readings:</w:t>
      </w:r>
    </w:p>
    <w:p w:rsidR="002D5267" w:rsidRDefault="002D5267" w:rsidP="002D5267">
      <w:pPr>
        <w:widowControl w:val="0"/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Shelden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R. G., &amp; </w:t>
      </w: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Vasiliev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P. V. (2017).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Controlling the dangerous classes: A history of criminal justice in America</w:t>
      </w:r>
      <w:r>
        <w:rPr>
          <w:rFonts w:ascii="Lato Regular" w:hAnsi="Lato Regular" w:cs="Lato Regular"/>
          <w:color w:val="1A1A1A"/>
          <w:sz w:val="20"/>
          <w:szCs w:val="20"/>
          <w:u w:color="E6000E"/>
        </w:rPr>
        <w:t>. Waveland Press.</w:t>
      </w:r>
    </w:p>
    <w:p w:rsidR="002D5267" w:rsidRDefault="002D5267" w:rsidP="002D5267">
      <w:pPr>
        <w:widowControl w:val="0"/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spacing w:line="288" w:lineRule="auto"/>
        <w:ind w:left="180" w:hanging="180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Garland, David. 2001. The culture of control; crime and social order in contemporary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society ,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Chicago , UCP.</w:t>
      </w:r>
    </w:p>
    <w:p w:rsidR="002D5267" w:rsidRDefault="002D5267" w:rsidP="002D5267">
      <w:pPr>
        <w:widowControl w:val="0"/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Quinney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R., &amp; </w:t>
      </w: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Shelden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R. G. (2018).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Critique of the legal order: Crime control in capitalist society</w:t>
      </w:r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. </w:t>
      </w: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Routledge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b/>
          <w:bCs/>
          <w:color w:val="262626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4./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Sociology of </w:t>
      </w:r>
      <w:proofErr w:type="spell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Humour</w:t>
      </w:r>
      <w:proofErr w:type="spell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Theories of Social control and communication: the research on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in society.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in social communication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Humor and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social  interaction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and Taboo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1.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compare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different theories to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and focus on what social phenomena are/ can be explained by different theories, 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main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questions are: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 xml:space="preserve">Social roots and functions of </w:t>
      </w:r>
      <w:proofErr w:type="spellStart"/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>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>Why do people joke?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 xml:space="preserve">When and how is </w:t>
      </w:r>
      <w:proofErr w:type="spellStart"/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  <w:t xml:space="preserve"> used in society?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b/>
          <w:bCs/>
          <w:color w:val="313131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>-</w:t>
      </w:r>
      <w:proofErr w:type="spellStart"/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as element of social interactions -  social roles 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joking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relationships  in different social environments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social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context of joke and joking relationships :the rules for joking (e.g. gender differences, age,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etc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)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 </w:t>
      </w:r>
      <w:proofErr w:type="spellStart"/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 and group culture: as element of status,  power, 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idio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-culture of a group, 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 </w:t>
      </w:r>
      <w:proofErr w:type="spellStart"/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as the tool of group affiliation, social identification class, status distinction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-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social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functions of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: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 as the tool of social control,  conflict and cohesion:   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2.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after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reading, please select examples of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(one or two) from you culture (bring these jokes to the seminar! so al could see them)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which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would illustrate  some of the issues discussed in the text.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try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to explain selected example  of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 from sociological perspective: 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you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can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analyse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the content, or structure or the way a given joke worked in your country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Compare two different theories of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: what social phenomena can be explained by different theories. Discuss the limitations and possibilities of explaining various social phenomena in a given theory, referring to empirical data.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after="24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Functional theory and social functions of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Fine, G. A. (1983).</w:t>
      </w:r>
      <w:proofErr w:type="gram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 Sociological approaches to the study of humor. </w:t>
      </w:r>
      <w:proofErr w:type="gram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In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Handbook of humor research</w:t>
      </w:r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 (pp. 159-181).</w:t>
      </w:r>
      <w:proofErr w:type="gram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 </w:t>
      </w:r>
      <w:proofErr w:type="gram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Springer, New York, NY.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further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readings: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Billig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M. (2005).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Laughter and ridicule: Towards a social critique of </w:t>
      </w:r>
      <w:proofErr w:type="spellStart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. Sage.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Lockyer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, S., &amp; Pickering, M. (Eds.).</w:t>
      </w:r>
      <w:proofErr w:type="gram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 (2005).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Beyond a joke: The limits of </w:t>
      </w:r>
      <w:proofErr w:type="spellStart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. Springer.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Palmer, M. J., &amp; Palmer, J. (2003).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Taking </w:t>
      </w:r>
      <w:proofErr w:type="spellStart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humour</w:t>
      </w:r>
      <w:proofErr w:type="spellEnd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 seriously</w:t>
      </w:r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. </w:t>
      </w: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Routledge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Kuipers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, G. (2015). </w:t>
      </w:r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Good humor, bad taste: </w:t>
      </w:r>
      <w:proofErr w:type="gramStart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>A sociology</w:t>
      </w:r>
      <w:proofErr w:type="gramEnd"/>
      <w:r>
        <w:rPr>
          <w:rFonts w:ascii="Lato Regular" w:hAnsi="Lato Regular" w:cs="Lato Regular"/>
          <w:i/>
          <w:iCs/>
          <w:color w:val="1A1A1A"/>
          <w:sz w:val="20"/>
          <w:szCs w:val="20"/>
          <w:u w:color="E6000E"/>
        </w:rPr>
        <w:t xml:space="preserve"> of the joke</w:t>
      </w:r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. </w:t>
      </w:r>
      <w:proofErr w:type="gram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Walter de </w:t>
      </w:r>
      <w:proofErr w:type="spellStart"/>
      <w:r>
        <w:rPr>
          <w:rFonts w:ascii="Lato Regular" w:hAnsi="Lato Regular" w:cs="Lato Regular"/>
          <w:color w:val="1A1A1A"/>
          <w:sz w:val="20"/>
          <w:szCs w:val="20"/>
          <w:u w:color="E6000E"/>
        </w:rPr>
        <w:t>Gruyter</w:t>
      </w:r>
      <w:proofErr w:type="spellEnd"/>
      <w:r>
        <w:rPr>
          <w:rFonts w:ascii="Lato Regular" w:hAnsi="Lato Regular" w:cs="Lato Regular"/>
          <w:color w:val="1A1A1A"/>
          <w:sz w:val="20"/>
          <w:szCs w:val="20"/>
          <w:u w:color="E6000E"/>
        </w:rPr>
        <w:t xml:space="preserve"> GmbH &amp; Co KG.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1A1A1A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13.12.18/ Migration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theories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of migration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limitations and possibilities of explaining various social phenomena in a given theory.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Trends of migration: what data say about the migratory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proces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Facts and myths about migration: Public opinion towards migrants.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Why migration polices are ineffective?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social dynamic of migratory process,  the structural reasons and 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globalisation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political systems and  hidden agendas: the ‘real’  and hidden aims of migration policy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ethnic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relations and migration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theories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of adaptation and assimilation.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problems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to discuss: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different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social mechanisms/ social problems of different forms of migration: forced and voluntary migration, economic migration, education,  family reunion etc.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How does the global economy (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liberalisation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of economy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)  influence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  patterns of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migration?migration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The problem of social adaptations: the reasons and solutions?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Social factors that facilitate adaptation, social barriers of adaptation (data: educational and economic performance of children from different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type  of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migrant families, racial auto- stereotypes, legal barriers,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ect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.)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after="24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  <w:proofErr w:type="gramStart"/>
      <w:r>
        <w:rPr>
          <w:rFonts w:ascii="Lato Regular" w:hAnsi="Lato Regular" w:cs="Lato Regular"/>
          <w:i/>
          <w:iCs/>
          <w:color w:val="E6000E"/>
          <w:u w:color="E6000E"/>
        </w:rPr>
        <w:t>Theories of migration (compare at lest two).</w:t>
      </w:r>
      <w:proofErr w:type="gramEnd"/>
      <w:r>
        <w:rPr>
          <w:rFonts w:ascii="Lato Regular" w:hAnsi="Lato Regular" w:cs="Lato Regular"/>
          <w:i/>
          <w:iCs/>
          <w:color w:val="E6000E"/>
          <w:u w:color="E6000E"/>
        </w:rPr>
        <w:t xml:space="preserve"> Discuss the limitations and possibilities of explaining various social phenomena in a given theory, referring to empirical data.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after="24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  <w:r>
        <w:rPr>
          <w:rFonts w:ascii="Lato Regular" w:hAnsi="Lato Regular" w:cs="Lato Regular"/>
          <w:i/>
          <w:iCs/>
          <w:color w:val="E6000E"/>
          <w:u w:color="E6000E"/>
        </w:rPr>
        <w:t xml:space="preserve">Why migration polices are ineffective?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after="24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  <w:r>
        <w:rPr>
          <w:rFonts w:ascii="Lato Regular" w:hAnsi="Lato Regular" w:cs="Lato Regular"/>
          <w:i/>
          <w:iCs/>
          <w:color w:val="E6000E"/>
          <w:u w:color="E6000E"/>
        </w:rPr>
        <w:t>Based on empirical data, explain the factors that make adaptation of migrant effective and ineffective.</w:t>
      </w:r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1.Stephen Castles (2004) </w:t>
      </w:r>
      <w:proofErr w:type="gram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Why</w:t>
      </w:r>
      <w:proofErr w:type="gram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migration policies fail, Ethnic and Racial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>Studies, 27:2, 205-227, DOI: 10.1080/0141987042000177306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To link to this article: </w:t>
      </w:r>
      <w:hyperlink r:id="rId8" w:history="1">
        <w:r>
          <w:rPr>
            <w:rFonts w:ascii="Lato Regular" w:hAnsi="Lato Regular" w:cs="Lato Regular"/>
            <w:color w:val="313131"/>
            <w:sz w:val="20"/>
            <w:szCs w:val="20"/>
            <w:u w:val="single" w:color="313131"/>
          </w:rPr>
          <w:t>http://dx.doi.org/10.1080/0141987042000177306</w:t>
        </w:r>
      </w:hyperlink>
      <w:r>
        <w:rPr>
          <w:rFonts w:ascii="Lato Regular" w:hAnsi="Lato Regular" w:cs="Lato Regular"/>
          <w:color w:val="313131"/>
          <w:sz w:val="20"/>
          <w:szCs w:val="20"/>
          <w:u w:color="E6000E"/>
        </w:rPr>
        <w:t>.</w:t>
      </w: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rPr>
          <w:rFonts w:ascii="Lato Regular" w:hAnsi="Lato Regular" w:cs="Lato Regular"/>
          <w:color w:val="313131"/>
          <w:sz w:val="20"/>
          <w:szCs w:val="20"/>
          <w:u w:color="E6000E"/>
        </w:rPr>
      </w:pPr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2. The Adaptation of Migrant Children Author(s): Alejandro </w:t>
      </w:r>
      <w:proofErr w:type="spellStart"/>
      <w:r>
        <w:rPr>
          <w:rFonts w:ascii="Lato Regular" w:hAnsi="Lato Regular" w:cs="Lato Regular"/>
          <w:color w:val="313131"/>
          <w:sz w:val="20"/>
          <w:szCs w:val="20"/>
          <w:u w:color="E6000E"/>
        </w:rPr>
        <w:t>Portes</w:t>
      </w:r>
      <w:proofErr w:type="spellEnd"/>
      <w:r>
        <w:rPr>
          <w:rFonts w:ascii="Lato Regular" w:hAnsi="Lato Regular" w:cs="Lato Regular"/>
          <w:color w:val="313131"/>
          <w:sz w:val="20"/>
          <w:szCs w:val="20"/>
          <w:u w:color="E6000E"/>
        </w:rPr>
        <w:t xml:space="preserve"> and Alejandro Rivas Source: The Future of Children, Vol. 21, No. 1, Immigrant Children (SPRING 2011), pp. 219-246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further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 readings: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Crosnoe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Robert; Turley, Ruth N.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López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(2011-07-21).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hyperlink r:id="rId9" w:history="1">
        <w:proofErr w:type="gramStart"/>
        <w:r>
          <w:rPr>
            <w:rFonts w:ascii="Lato Regular" w:hAnsi="Lato Regular" w:cs="Lato Regular"/>
            <w:color w:val="092F9D"/>
            <w:sz w:val="20"/>
            <w:szCs w:val="20"/>
            <w:u w:color="E6000E"/>
          </w:rPr>
          <w:t>"K-12 Educational Outcomes of Immigrant Youth"</w:t>
        </w:r>
      </w:hyperlink>
      <w:r>
        <w:rPr>
          <w:rFonts w:ascii="Lato Regular" w:hAnsi="Lato Regular" w:cs="Lato Regular"/>
          <w:color w:val="000000"/>
          <w:sz w:val="20"/>
          <w:szCs w:val="20"/>
          <w:u w:color="E6000E"/>
        </w:rPr>
        <w:t>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The Future of Children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>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21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(1): 129–52. </w:t>
      </w:r>
      <w:hyperlink r:id="rId10" w:history="1">
        <w:proofErr w:type="gramStart"/>
        <w:r>
          <w:rPr>
            <w:rFonts w:ascii="Lato Regular" w:hAnsi="Lato Regular" w:cs="Lato Regular"/>
            <w:color w:val="092F9D"/>
            <w:sz w:val="20"/>
            <w:szCs w:val="20"/>
            <w:u w:color="E6000E"/>
          </w:rPr>
          <w:t>doi</w:t>
        </w:r>
        <w:proofErr w:type="gramEnd"/>
      </w:hyperlink>
      <w:r>
        <w:rPr>
          <w:rFonts w:ascii="Lato Regular" w:hAnsi="Lato Regular" w:cs="Lato Regular"/>
          <w:color w:val="000000"/>
          <w:sz w:val="20"/>
          <w:szCs w:val="20"/>
          <w:u w:color="E6000E"/>
        </w:rPr>
        <w:t>:</w:t>
      </w:r>
      <w:hyperlink r:id="rId11" w:history="1">
        <w:r>
          <w:rPr>
            <w:rFonts w:ascii="Lato Regular" w:hAnsi="Lato Regular" w:cs="Lato Regular"/>
            <w:color w:val="092F9D"/>
            <w:sz w:val="20"/>
            <w:szCs w:val="20"/>
            <w:u w:color="E6000E"/>
          </w:rPr>
          <w:t>10.1353/foc.2011.0008</w:t>
        </w:r>
      </w:hyperlink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. </w:t>
      </w:r>
      <w:hyperlink r:id="rId12" w:history="1">
        <w:r>
          <w:rPr>
            <w:rFonts w:ascii="Lato Regular" w:hAnsi="Lato Regular" w:cs="Lato Regular"/>
            <w:color w:val="092F9D"/>
            <w:sz w:val="20"/>
            <w:szCs w:val="20"/>
            <w:u w:color="E6000E"/>
          </w:rPr>
          <w:t>ISSN</w:t>
        </w:r>
      </w:hyperlink>
      <w:r>
        <w:rPr>
          <w:rFonts w:ascii="Lato Regular" w:hAnsi="Lato Regular" w:cs="Lato Regular"/>
          <w:color w:val="000000"/>
          <w:sz w:val="20"/>
          <w:szCs w:val="20"/>
          <w:u w:color="E6000E"/>
        </w:rPr>
        <w:t> </w:t>
      </w:r>
      <w:hyperlink r:id="rId13" w:history="1">
        <w:r>
          <w:rPr>
            <w:rFonts w:ascii="Lato Regular" w:hAnsi="Lato Regular" w:cs="Lato Regular"/>
            <w:color w:val="092F9D"/>
            <w:sz w:val="20"/>
            <w:szCs w:val="20"/>
            <w:u w:color="E6000E"/>
          </w:rPr>
          <w:t>1550-1558</w:t>
        </w:r>
      </w:hyperlink>
      <w:r>
        <w:rPr>
          <w:rFonts w:ascii="Lato Regular" w:hAnsi="Lato Regular" w:cs="Lato Regular"/>
          <w:color w:val="000000"/>
          <w:sz w:val="20"/>
          <w:szCs w:val="20"/>
          <w:u w:color="E6000E"/>
        </w:rPr>
        <w:t>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Second-generation immigrants in the United States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Portes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Alejandro, and Min Zhou. "The New Second Generation: Segmented Assimilation and Its Variants." ANNALS. 530.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no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. 1 (1993): 74–96.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Portes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A. (1997). Immigration theory for a new century: Some problems and opportunities. </w:t>
      </w: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International migration review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</w:t>
      </w: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31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>(4), 799-825.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6. Topics of the current debate around work </w:t>
      </w: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of 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Thomas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Piketty</w:t>
      </w:r>
      <w:proofErr w:type="spell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economic foundations of social  structure and inequalities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what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do reveal the historical trends of wealth distribution?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market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 mechanisms: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labour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capital and social inequality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merit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and inheritance in the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longrRun</w:t>
      </w:r>
      <w:proofErr w:type="spell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social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policy in 21 c.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critique of liberal and neo-liberal policy. </w:t>
      </w:r>
    </w:p>
    <w:p w:rsidR="002D5267" w:rsidRDefault="002D5267" w:rsidP="002D5267">
      <w:pPr>
        <w:widowControl w:val="0"/>
        <w:autoSpaceDE w:val="0"/>
        <w:autoSpaceDN w:val="0"/>
        <w:adjustRightInd w:val="0"/>
        <w:jc w:val="both"/>
        <w:rPr>
          <w:rFonts w:ascii="Lato Regular" w:hAnsi="Lato Regular" w:cs="Lato Regular"/>
          <w:i/>
          <w:iCs/>
          <w:color w:val="E6000E"/>
          <w:u w:color="E6000E"/>
        </w:rPr>
      </w:pPr>
      <w:r>
        <w:rPr>
          <w:rFonts w:ascii="Lato Regular" w:hAnsi="Lato Regular" w:cs="Lato Regular"/>
          <w:i/>
          <w:iCs/>
          <w:color w:val="E6000E"/>
          <w:u w:color="E6000E"/>
        </w:rPr>
        <w:t xml:space="preserve">Thomas </w:t>
      </w:r>
      <w:proofErr w:type="spellStart"/>
      <w:r>
        <w:rPr>
          <w:rFonts w:ascii="Lato Regular" w:hAnsi="Lato Regular" w:cs="Lato Regular"/>
          <w:i/>
          <w:iCs/>
          <w:color w:val="E6000E"/>
          <w:u w:color="E6000E"/>
        </w:rPr>
        <w:t>Piketty</w:t>
      </w:r>
      <w:proofErr w:type="spellEnd"/>
      <w:r>
        <w:rPr>
          <w:rFonts w:ascii="Lato Regular" w:hAnsi="Lato Regular" w:cs="Lato Regular"/>
          <w:i/>
          <w:iCs/>
          <w:color w:val="E6000E"/>
          <w:u w:color="E6000E"/>
        </w:rPr>
        <w:t xml:space="preserve"> and the Capital in the 21st century: the critique of liberal and neo-liberal policy. 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Piketty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Thomas, Capital in 21 century. (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introduction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chapter: 7)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Piketty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T., &amp;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Zucman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G. (2014).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Capital is back: Wealth-income ratios in rich countries 1700–2010. 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The Quarterly Journal of Economics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</w:t>
      </w: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129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>(3), 1255-1310.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hyperlink r:id="rId14" w:history="1">
        <w:r>
          <w:rPr>
            <w:rFonts w:ascii="Lato Regular" w:hAnsi="Lato Regular" w:cs="Lato Regular"/>
            <w:color w:val="000000"/>
            <w:sz w:val="20"/>
            <w:szCs w:val="20"/>
            <w:u w:val="single" w:color="000000"/>
          </w:rPr>
          <w:t>https://doi.org/10.1093/qje/qju018</w:t>
        </w:r>
      </w:hyperlink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>Ha-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Joon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Chang. 2010. 23 Things they don’t tell you about Capitalism. Penguin Books.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Sandel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M. J. (2000).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What money can't buy: the moral limits of markets. 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Tanner Lectures on Human Values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</w:t>
      </w: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21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87-122.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Putnam, R. D. (2001). Bowling alone: The collapse and revival of American community.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Sandel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Michael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,  Justice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7. Theories of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modernisation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relations between economy culture and society.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culture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differences and economy.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culture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differences and political regimes and power.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Inglehart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R., &amp;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Welzel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C. (2005). Modernization, cultural change, and democracy: The human development sequence. Cambridge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Unversity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Press.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Welzel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C.,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Inglehart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R., &amp; </w:t>
      </w:r>
      <w:proofErr w:type="spellStart"/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Kligemann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,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H. D. (2003). The theory of human development: A cross‐cultural analysis. </w:t>
      </w:r>
      <w:proofErr w:type="gramStart"/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European Journal of Political Research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, </w:t>
      </w:r>
      <w:r>
        <w:rPr>
          <w:rFonts w:ascii="Lato Regular" w:hAnsi="Lato Regular" w:cs="Lato Regular"/>
          <w:i/>
          <w:iCs/>
          <w:color w:val="000000"/>
          <w:sz w:val="20"/>
          <w:szCs w:val="20"/>
          <w:u w:color="E6000E"/>
        </w:rPr>
        <w:t>42</w:t>
      </w:r>
      <w:r>
        <w:rPr>
          <w:rFonts w:ascii="Lato Regular" w:hAnsi="Lato Regular" w:cs="Lato Regular"/>
          <w:color w:val="000000"/>
          <w:sz w:val="20"/>
          <w:szCs w:val="20"/>
          <w:u w:color="E6000E"/>
        </w:rPr>
        <w:t>(3), 341-379.</w:t>
      </w:r>
      <w:proofErr w:type="gramEnd"/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7-14. Students’ projects: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Theories of social stratification: stratification in postmodern societies: distinctions and unifications.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consumption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and aesthetic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 Art and music as social practice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Emotions.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Modernisation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theory: the consequences of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modernisation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on cultural patterns. 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 case of Indian society.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The process of </w:t>
      </w:r>
      <w:proofErr w:type="spell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stigmatisation</w:t>
      </w:r>
      <w:proofErr w:type="spell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(</w:t>
      </w:r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the  interactionism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perspective on social life.</w:t>
      </w: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color w:val="000000"/>
          <w:sz w:val="20"/>
          <w:szCs w:val="20"/>
          <w:u w:color="E6000E"/>
        </w:rPr>
      </w:pPr>
    </w:p>
    <w:p w:rsidR="002D5267" w:rsidRDefault="002D5267" w:rsidP="002D526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</w:pPr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 xml:space="preserve">15. </w:t>
      </w:r>
      <w:proofErr w:type="gramStart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summary</w:t>
      </w:r>
      <w:proofErr w:type="gramEnd"/>
      <w:r>
        <w:rPr>
          <w:rFonts w:ascii="Lato Regular" w:hAnsi="Lato Regular" w:cs="Lato Regular"/>
          <w:b/>
          <w:bCs/>
          <w:color w:val="000000"/>
          <w:sz w:val="20"/>
          <w:szCs w:val="20"/>
          <w:u w:color="E6000E"/>
        </w:rPr>
        <w:t>.</w:t>
      </w:r>
    </w:p>
    <w:p w:rsidR="003F2C9F" w:rsidRDefault="002D5267" w:rsidP="002D5267">
      <w:proofErr w:type="gramStart"/>
      <w:r>
        <w:rPr>
          <w:rFonts w:ascii="Lato Regular" w:hAnsi="Lato Regular" w:cs="Lato Regular"/>
          <w:color w:val="000000"/>
          <w:sz w:val="20"/>
          <w:szCs w:val="20"/>
          <w:u w:color="E6000E"/>
        </w:rPr>
        <w:t>final</w:t>
      </w:r>
      <w:proofErr w:type="gramEnd"/>
      <w:r>
        <w:rPr>
          <w:rFonts w:ascii="Lato Regular" w:hAnsi="Lato Regular" w:cs="Lato Regular"/>
          <w:color w:val="000000"/>
          <w:sz w:val="20"/>
          <w:szCs w:val="20"/>
          <w:u w:color="E6000E"/>
        </w:rPr>
        <w:t xml:space="preserve"> remarks and conclusions</w:t>
      </w:r>
      <w:bookmarkStart w:id="0" w:name="_GoBack"/>
      <w:bookmarkEnd w:id="0"/>
    </w:p>
    <w:sectPr w:rsidR="003F2C9F" w:rsidSect="003F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67"/>
    <w:rsid w:val="002D5267"/>
    <w:rsid w:val="003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353%2Ffoc.2011.0008" TargetMode="External"/><Relationship Id="rId12" Type="http://schemas.openxmlformats.org/officeDocument/2006/relationships/hyperlink" Target="https://en.wikipedia.org/wiki/International_Standard_Serial_Number" TargetMode="External"/><Relationship Id="rId13" Type="http://schemas.openxmlformats.org/officeDocument/2006/relationships/hyperlink" Target="https://www.worldcat.org/issn/1550-1558" TargetMode="External"/><Relationship Id="rId14" Type="http://schemas.openxmlformats.org/officeDocument/2006/relationships/hyperlink" Target="https://doi.org/10.1093/qje/qju01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8wOqP6fZuto" TargetMode="External"/><Relationship Id="rId7" Type="http://schemas.openxmlformats.org/officeDocument/2006/relationships/hyperlink" Target="https://areomagazine.com/2018/10/02/academic-grievance-studies-and-the-corruption-of-scholarship/" TargetMode="External"/><Relationship Id="rId8" Type="http://schemas.openxmlformats.org/officeDocument/2006/relationships/hyperlink" Target="http://dx.doi.org/10.1080/0141987042000177306" TargetMode="External"/><Relationship Id="rId9" Type="http://schemas.openxmlformats.org/officeDocument/2006/relationships/hyperlink" Target="https://muse.jhu.edu/article/446012" TargetMode="External"/><Relationship Id="rId10" Type="http://schemas.openxmlformats.org/officeDocument/2006/relationships/hyperlink" Target="https://en.wikipedia.org/wiki/Digital_object_identif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8904</Characters>
  <Application>Microsoft Macintosh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Pabjan</dc:creator>
  <cp:keywords/>
  <dc:description/>
  <cp:lastModifiedBy>Barbara Pabjan</cp:lastModifiedBy>
  <cp:revision>1</cp:revision>
  <dcterms:created xsi:type="dcterms:W3CDTF">2019-01-07T12:55:00Z</dcterms:created>
  <dcterms:modified xsi:type="dcterms:W3CDTF">2019-01-07T12:57:00Z</dcterms:modified>
</cp:coreProperties>
</file>